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E1" w:rsidRDefault="003F4C62" w:rsidP="00B139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BF10B2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  <w:bookmarkStart w:id="0" w:name="_GoBack"/>
      <w:bookmarkEnd w:id="0"/>
    </w:p>
    <w:p w:rsidR="003F4C62" w:rsidRDefault="003F4C62" w:rsidP="00B139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9E1" w:rsidRPr="00B139E1" w:rsidRDefault="00B139E1" w:rsidP="00B139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39E1">
        <w:rPr>
          <w:rFonts w:ascii="Times New Roman" w:hAnsi="Times New Roman" w:cs="Times New Roman"/>
          <w:sz w:val="28"/>
          <w:szCs w:val="28"/>
        </w:rPr>
        <w:t>Финансово-экономическое состояние субъектов малого и среднего предпринимательства оценивается на среднем уровне.</w:t>
      </w:r>
    </w:p>
    <w:p w:rsidR="00C64F03" w:rsidRDefault="00B139E1" w:rsidP="00B139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4F03">
        <w:rPr>
          <w:rFonts w:ascii="Times New Roman" w:hAnsi="Times New Roman" w:cs="Times New Roman"/>
          <w:sz w:val="28"/>
          <w:szCs w:val="28"/>
        </w:rPr>
        <w:t>Основной финансовый результат складывается от предприятий, находящихся на традиционной системе налогообложения,</w:t>
      </w:r>
      <w:r w:rsidR="00BF10B2">
        <w:rPr>
          <w:rFonts w:ascii="Times New Roman" w:hAnsi="Times New Roman" w:cs="Times New Roman"/>
          <w:sz w:val="28"/>
          <w:szCs w:val="28"/>
        </w:rPr>
        <w:t xml:space="preserve"> который составил по итогам 2019 года +2114,5</w:t>
      </w:r>
      <w:r w:rsidR="00C64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F0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64F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64F0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64F03">
        <w:rPr>
          <w:rFonts w:ascii="Times New Roman" w:hAnsi="Times New Roman" w:cs="Times New Roman"/>
          <w:sz w:val="28"/>
          <w:szCs w:val="28"/>
        </w:rPr>
        <w:t>.</w:t>
      </w:r>
    </w:p>
    <w:p w:rsidR="00C64F03" w:rsidRDefault="00C64F03" w:rsidP="00C64F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Большая</w:t>
      </w:r>
      <w:r w:rsidRPr="00B139E1"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spellStart"/>
      <w:r w:rsidRPr="00B139E1">
        <w:rPr>
          <w:rFonts w:ascii="Times New Roman" w:hAnsi="Times New Roman" w:cs="Times New Roman"/>
          <w:sz w:val="28"/>
          <w:szCs w:val="28"/>
        </w:rPr>
        <w:t>СМСП</w:t>
      </w:r>
      <w:proofErr w:type="spellEnd"/>
      <w:r w:rsidRPr="00B139E1">
        <w:rPr>
          <w:rFonts w:ascii="Times New Roman" w:hAnsi="Times New Roman" w:cs="Times New Roman"/>
          <w:sz w:val="28"/>
          <w:szCs w:val="28"/>
        </w:rPr>
        <w:t xml:space="preserve"> находятся на специальных режимах налогообложения (</w:t>
      </w:r>
      <w:proofErr w:type="spellStart"/>
      <w:r w:rsidRPr="00B139E1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Pr="00B139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39E1">
        <w:rPr>
          <w:rFonts w:ascii="Times New Roman" w:hAnsi="Times New Roman" w:cs="Times New Roman"/>
          <w:sz w:val="28"/>
          <w:szCs w:val="28"/>
        </w:rPr>
        <w:t>ЕНВД</w:t>
      </w:r>
      <w:proofErr w:type="spellEnd"/>
      <w:r w:rsidRPr="00B139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F03" w:rsidRPr="00B139E1" w:rsidRDefault="00B139E1" w:rsidP="00B139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10B2" w:rsidRDefault="00B139E1" w:rsidP="00BF10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8A">
        <w:rPr>
          <w:rFonts w:ascii="Times New Roman" w:hAnsi="Times New Roman" w:cs="Times New Roman"/>
          <w:b/>
          <w:sz w:val="28"/>
          <w:szCs w:val="28"/>
        </w:rPr>
        <w:t>Д</w:t>
      </w:r>
      <w:r w:rsidR="00BF10B2">
        <w:rPr>
          <w:rFonts w:ascii="Times New Roman" w:hAnsi="Times New Roman" w:cs="Times New Roman"/>
          <w:b/>
          <w:sz w:val="28"/>
          <w:szCs w:val="28"/>
        </w:rPr>
        <w:t>оля налоговых поступлений в 2019</w:t>
      </w:r>
      <w:r w:rsidRPr="00181B8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F10B2" w:rsidRDefault="00BF10B2" w:rsidP="00BF10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985"/>
        <w:gridCol w:w="3119"/>
      </w:tblGrid>
      <w:tr w:rsidR="00BF10B2" w:rsidRPr="00181B8A" w:rsidTr="00E62745">
        <w:tc>
          <w:tcPr>
            <w:tcW w:w="5985" w:type="dxa"/>
          </w:tcPr>
          <w:p w:rsidR="00BF10B2" w:rsidRPr="00741D9B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D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BF10B2" w:rsidRPr="00181B8A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10B2" w:rsidRPr="00181B8A" w:rsidTr="00E62745">
        <w:tc>
          <w:tcPr>
            <w:tcW w:w="5985" w:type="dxa"/>
          </w:tcPr>
          <w:p w:rsidR="00BF10B2" w:rsidRPr="00181B8A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8A">
              <w:rPr>
                <w:rFonts w:ascii="Times New Roman" w:hAnsi="Times New Roman" w:cs="Times New Roman"/>
                <w:sz w:val="28"/>
                <w:szCs w:val="28"/>
              </w:rPr>
              <w:t>Средние предприятия</w:t>
            </w:r>
          </w:p>
        </w:tc>
        <w:tc>
          <w:tcPr>
            <w:tcW w:w="3119" w:type="dxa"/>
          </w:tcPr>
          <w:p w:rsidR="00BF10B2" w:rsidRPr="00F1730E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F10B2" w:rsidRPr="00181B8A" w:rsidTr="00E62745">
        <w:tc>
          <w:tcPr>
            <w:tcW w:w="5985" w:type="dxa"/>
          </w:tcPr>
          <w:p w:rsidR="00BF10B2" w:rsidRPr="00181B8A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8A"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3119" w:type="dxa"/>
          </w:tcPr>
          <w:p w:rsidR="00BF10B2" w:rsidRPr="00F1730E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BF10B2" w:rsidRPr="00181B8A" w:rsidTr="00E62745">
        <w:tc>
          <w:tcPr>
            <w:tcW w:w="5985" w:type="dxa"/>
          </w:tcPr>
          <w:p w:rsidR="00BF10B2" w:rsidRPr="00181B8A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8A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3119" w:type="dxa"/>
          </w:tcPr>
          <w:p w:rsidR="00BF10B2" w:rsidRPr="00F1730E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F10B2" w:rsidTr="00E62745">
        <w:tc>
          <w:tcPr>
            <w:tcW w:w="5985" w:type="dxa"/>
          </w:tcPr>
          <w:p w:rsidR="00BF10B2" w:rsidRPr="00181B8A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BF10B2" w:rsidRPr="00237E9E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</w:tbl>
    <w:p w:rsidR="00BF10B2" w:rsidRDefault="00BF10B2" w:rsidP="00BF10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B2" w:rsidRDefault="00BF10B2" w:rsidP="00BF10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2D582A4" wp14:editId="1401B0F0">
            <wp:extent cx="5940425" cy="1177967"/>
            <wp:effectExtent l="0" t="0" r="317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10B2" w:rsidRDefault="00BF10B2" w:rsidP="00C64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0B2" w:rsidRDefault="00BF10B2" w:rsidP="00BF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24CF2">
        <w:rPr>
          <w:rFonts w:ascii="Times New Roman" w:hAnsi="Times New Roman" w:cs="Times New Roman"/>
          <w:sz w:val="28"/>
          <w:szCs w:val="28"/>
        </w:rPr>
        <w:t xml:space="preserve">Доля налоговых платежей </w:t>
      </w:r>
      <w:r w:rsidRPr="00741D9B">
        <w:rPr>
          <w:rFonts w:ascii="Times New Roman" w:hAnsi="Times New Roman" w:cs="Times New Roman"/>
          <w:sz w:val="28"/>
          <w:szCs w:val="28"/>
        </w:rPr>
        <w:t xml:space="preserve">от субъектов малого и среднего предпринимательства в собственных доходах местного </w:t>
      </w:r>
      <w:r>
        <w:rPr>
          <w:rFonts w:ascii="Times New Roman" w:hAnsi="Times New Roman" w:cs="Times New Roman"/>
          <w:sz w:val="28"/>
          <w:szCs w:val="28"/>
        </w:rPr>
        <w:t>бюджета составила в 2019</w:t>
      </w:r>
      <w:r w:rsidRPr="00741D9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19,1</w:t>
      </w:r>
      <w:r w:rsidRPr="00741D9B">
        <w:rPr>
          <w:rFonts w:ascii="Times New Roman" w:hAnsi="Times New Roman" w:cs="Times New Roman"/>
          <w:sz w:val="28"/>
          <w:szCs w:val="28"/>
        </w:rPr>
        <w:t xml:space="preserve"> % , что н</w:t>
      </w:r>
      <w:r>
        <w:rPr>
          <w:rFonts w:ascii="Times New Roman" w:hAnsi="Times New Roman" w:cs="Times New Roman"/>
          <w:sz w:val="28"/>
          <w:szCs w:val="28"/>
        </w:rPr>
        <w:t>иже предыдущего года на 1</w:t>
      </w:r>
      <w:r w:rsidRPr="00741D9B">
        <w:rPr>
          <w:rFonts w:ascii="Times New Roman" w:hAnsi="Times New Roman" w:cs="Times New Roman"/>
          <w:sz w:val="28"/>
          <w:szCs w:val="28"/>
        </w:rPr>
        <w:t xml:space="preserve"> %. Это произошло за счет уменьшения поступления консолидированный бюджет района </w:t>
      </w:r>
      <w:proofErr w:type="spellStart"/>
      <w:r w:rsidRPr="00741D9B">
        <w:rPr>
          <w:rFonts w:ascii="Times New Roman" w:hAnsi="Times New Roman" w:cs="Times New Roman"/>
          <w:sz w:val="28"/>
          <w:szCs w:val="28"/>
        </w:rPr>
        <w:t>ЕНВД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связи с компенсацией затрат на контрольно-кассовую технику), сельхозналога (в связи с ликвидацией сельхозпредприятий), уменьшением среднесписочной численности работающих.</w:t>
      </w:r>
      <w:proofErr w:type="gramEnd"/>
    </w:p>
    <w:p w:rsidR="00C64F03" w:rsidRDefault="00C64F03" w:rsidP="00C64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Удельный вес поступлений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единого налога, уплачиваемого в связи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налоговых доходах, собираемых в консолидированный бюджет области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7%.</w:t>
      </w:r>
    </w:p>
    <w:p w:rsidR="00B139E1" w:rsidRDefault="00C64F03" w:rsidP="00C64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139E1" w:rsidRPr="00474B15">
        <w:rPr>
          <w:rFonts w:ascii="Times New Roman" w:hAnsi="Times New Roman" w:cs="Times New Roman"/>
          <w:sz w:val="28"/>
          <w:szCs w:val="28"/>
        </w:rPr>
        <w:t>ЕНВД</w:t>
      </w:r>
      <w:proofErr w:type="spellEnd"/>
      <w:r w:rsidR="00B139E1" w:rsidRPr="00474B15">
        <w:rPr>
          <w:rFonts w:ascii="Times New Roman" w:hAnsi="Times New Roman" w:cs="Times New Roman"/>
          <w:sz w:val="28"/>
          <w:szCs w:val="28"/>
        </w:rPr>
        <w:t xml:space="preserve"> </w:t>
      </w:r>
      <w:r w:rsidR="00B139E1" w:rsidRPr="005654C5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BF10B2">
        <w:rPr>
          <w:rFonts w:ascii="Times New Roman" w:hAnsi="Times New Roman" w:cs="Times New Roman"/>
          <w:sz w:val="28"/>
          <w:szCs w:val="28"/>
        </w:rPr>
        <w:t>2,3</w:t>
      </w:r>
      <w:r w:rsidR="00B139E1" w:rsidRPr="001553F3">
        <w:rPr>
          <w:rFonts w:ascii="Times New Roman" w:hAnsi="Times New Roman" w:cs="Times New Roman"/>
          <w:sz w:val="28"/>
          <w:szCs w:val="28"/>
        </w:rPr>
        <w:t>%</w:t>
      </w:r>
      <w:r w:rsidR="00B139E1" w:rsidRPr="005654C5">
        <w:rPr>
          <w:rFonts w:ascii="Times New Roman" w:hAnsi="Times New Roman" w:cs="Times New Roman"/>
          <w:sz w:val="28"/>
          <w:szCs w:val="28"/>
        </w:rPr>
        <w:t xml:space="preserve"> в</w:t>
      </w:r>
      <w:r w:rsidR="00B139E1" w:rsidRPr="00474B15">
        <w:rPr>
          <w:rFonts w:ascii="Times New Roman" w:hAnsi="Times New Roman" w:cs="Times New Roman"/>
          <w:sz w:val="28"/>
          <w:szCs w:val="28"/>
        </w:rPr>
        <w:t xml:space="preserve"> структуре налоговых и неналоговых платежей</w:t>
      </w:r>
      <w:r w:rsidR="003F4C62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="00B139E1" w:rsidRPr="00474B15">
        <w:rPr>
          <w:rFonts w:ascii="Times New Roman" w:hAnsi="Times New Roman" w:cs="Times New Roman"/>
          <w:sz w:val="28"/>
          <w:szCs w:val="28"/>
        </w:rPr>
        <w:t>.</w:t>
      </w:r>
      <w:r w:rsidR="00B1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9E1" w:rsidRPr="004014DF" w:rsidRDefault="00B139E1" w:rsidP="003F4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DF">
        <w:rPr>
          <w:rFonts w:ascii="Times New Roman" w:hAnsi="Times New Roman" w:cs="Times New Roman"/>
          <w:b/>
          <w:sz w:val="28"/>
          <w:szCs w:val="28"/>
        </w:rPr>
        <w:t xml:space="preserve">Структура уплаты </w:t>
      </w:r>
      <w:proofErr w:type="spellStart"/>
      <w:r w:rsidRPr="004014DF">
        <w:rPr>
          <w:rFonts w:ascii="Times New Roman" w:hAnsi="Times New Roman" w:cs="Times New Roman"/>
          <w:b/>
          <w:sz w:val="28"/>
          <w:szCs w:val="28"/>
        </w:rPr>
        <w:t>ЕНВД</w:t>
      </w:r>
      <w:proofErr w:type="spellEnd"/>
      <w:r w:rsidRPr="004014DF">
        <w:rPr>
          <w:rFonts w:ascii="Times New Roman" w:hAnsi="Times New Roman" w:cs="Times New Roman"/>
          <w:b/>
          <w:sz w:val="28"/>
          <w:szCs w:val="28"/>
        </w:rPr>
        <w:t xml:space="preserve"> в разрезе поселений, %</w:t>
      </w:r>
    </w:p>
    <w:p w:rsidR="00B139E1" w:rsidRPr="004014DF" w:rsidRDefault="00B139E1" w:rsidP="00B13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F4C62" w:rsidRPr="004014DF" w:rsidTr="005B0DE3">
        <w:tc>
          <w:tcPr>
            <w:tcW w:w="5353" w:type="dxa"/>
          </w:tcPr>
          <w:p w:rsidR="003F4C62" w:rsidRPr="00EB42E4" w:rsidRDefault="003F4C6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218" w:type="dxa"/>
          </w:tcPr>
          <w:p w:rsidR="003F4C62" w:rsidRPr="00EB42E4" w:rsidRDefault="003F4C6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C62" w:rsidRPr="004014DF" w:rsidTr="00AB61D6">
        <w:tc>
          <w:tcPr>
            <w:tcW w:w="5353" w:type="dxa"/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основское</w:t>
            </w:r>
            <w:proofErr w:type="spellEnd"/>
          </w:p>
        </w:tc>
        <w:tc>
          <w:tcPr>
            <w:tcW w:w="4218" w:type="dxa"/>
          </w:tcPr>
          <w:p w:rsidR="003F4C62" w:rsidRPr="00EB42E4" w:rsidRDefault="00BF10B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3F4C62" w:rsidRPr="004014DF" w:rsidTr="00EA34DE">
        <w:tc>
          <w:tcPr>
            <w:tcW w:w="5353" w:type="dxa"/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Виткуловская</w:t>
            </w:r>
            <w:proofErr w:type="spellEnd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4218" w:type="dxa"/>
          </w:tcPr>
          <w:p w:rsidR="003F4C62" w:rsidRPr="00EB42E4" w:rsidRDefault="00BF10B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4C62" w:rsidRPr="004014DF" w:rsidTr="004358C7">
        <w:tc>
          <w:tcPr>
            <w:tcW w:w="5353" w:type="dxa"/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Давыдковская</w:t>
            </w:r>
            <w:proofErr w:type="spellEnd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4218" w:type="dxa"/>
          </w:tcPr>
          <w:p w:rsidR="003F4C62" w:rsidRPr="00EB42E4" w:rsidRDefault="00BF10B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F4C62" w:rsidRPr="004014DF" w:rsidTr="005F6789">
        <w:tc>
          <w:tcPr>
            <w:tcW w:w="5353" w:type="dxa"/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Елизаровская с/а</w:t>
            </w:r>
            <w:proofErr w:type="gramEnd"/>
          </w:p>
        </w:tc>
        <w:tc>
          <w:tcPr>
            <w:tcW w:w="4218" w:type="dxa"/>
          </w:tcPr>
          <w:p w:rsidR="003F4C62" w:rsidRPr="00EB42E4" w:rsidRDefault="00BF10B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F4C62" w:rsidRPr="004014DF" w:rsidTr="00F24E83">
        <w:tc>
          <w:tcPr>
            <w:tcW w:w="5353" w:type="dxa"/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Крутецкая</w:t>
            </w:r>
            <w:proofErr w:type="spellEnd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4218" w:type="dxa"/>
          </w:tcPr>
          <w:p w:rsidR="003F4C62" w:rsidRPr="00EB42E4" w:rsidRDefault="003F4C6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F4C62" w:rsidRPr="004014DF" w:rsidTr="00C27926">
        <w:tc>
          <w:tcPr>
            <w:tcW w:w="5353" w:type="dxa"/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Панинская с/а</w:t>
            </w:r>
            <w:proofErr w:type="gramEnd"/>
          </w:p>
        </w:tc>
        <w:tc>
          <w:tcPr>
            <w:tcW w:w="4218" w:type="dxa"/>
          </w:tcPr>
          <w:p w:rsidR="003F4C62" w:rsidRPr="00EB42E4" w:rsidRDefault="00BF10B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C62" w:rsidRPr="004014DF" w:rsidTr="007F44C0">
        <w:tc>
          <w:tcPr>
            <w:tcW w:w="5353" w:type="dxa"/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Рожковская</w:t>
            </w:r>
            <w:proofErr w:type="spellEnd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4218" w:type="dxa"/>
          </w:tcPr>
          <w:p w:rsidR="003F4C62" w:rsidRPr="00EB42E4" w:rsidRDefault="003F4C6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3F4C62" w:rsidRPr="004014DF" w:rsidTr="00254F59">
        <w:tc>
          <w:tcPr>
            <w:tcW w:w="5353" w:type="dxa"/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Селитьбенская</w:t>
            </w:r>
            <w:proofErr w:type="spellEnd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4218" w:type="dxa"/>
          </w:tcPr>
          <w:p w:rsidR="003F4C62" w:rsidRPr="00EB42E4" w:rsidRDefault="00BF10B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F4C62" w:rsidRPr="004014DF" w:rsidTr="008A79D0"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Яковская</w:t>
            </w:r>
            <w:proofErr w:type="spellEnd"/>
            <w:r w:rsidRPr="00EB42E4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4218" w:type="dxa"/>
            <w:tcBorders>
              <w:bottom w:val="single" w:sz="4" w:space="0" w:color="000000" w:themeColor="text1"/>
            </w:tcBorders>
          </w:tcPr>
          <w:p w:rsidR="003F4C62" w:rsidRPr="00EB42E4" w:rsidRDefault="00BF10B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3F4C62" w:rsidRPr="00BA7466" w:rsidTr="00DE10B6">
        <w:trPr>
          <w:trHeight w:val="396"/>
        </w:trPr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3F4C62" w:rsidRPr="00EB42E4" w:rsidRDefault="003F4C62" w:rsidP="00D8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18" w:type="dxa"/>
            <w:tcBorders>
              <w:bottom w:val="single" w:sz="4" w:space="0" w:color="000000" w:themeColor="text1"/>
            </w:tcBorders>
          </w:tcPr>
          <w:p w:rsidR="003F4C62" w:rsidRPr="00EB42E4" w:rsidRDefault="003F4C62" w:rsidP="00D8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139E1" w:rsidRDefault="00B139E1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3F">
        <w:rPr>
          <w:rFonts w:ascii="Times New Roman" w:hAnsi="Times New Roman" w:cs="Times New Roman"/>
          <w:sz w:val="28"/>
          <w:szCs w:val="28"/>
        </w:rPr>
        <w:t xml:space="preserve">        </w:t>
      </w:r>
      <w:r w:rsidR="00BF10B2">
        <w:rPr>
          <w:noProof/>
        </w:rPr>
        <w:drawing>
          <wp:inline distT="0" distB="0" distL="0" distR="0" wp14:anchorId="639DCF89" wp14:editId="382FB9B3">
            <wp:extent cx="5867400" cy="22193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D43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9E1" w:rsidRPr="005D76EA" w:rsidRDefault="00B139E1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383F">
        <w:rPr>
          <w:rFonts w:ascii="Times New Roman" w:hAnsi="Times New Roman" w:cs="Times New Roman"/>
          <w:sz w:val="28"/>
          <w:szCs w:val="28"/>
        </w:rPr>
        <w:t xml:space="preserve">Плательщики </w:t>
      </w:r>
      <w:proofErr w:type="spellStart"/>
      <w:r w:rsidRPr="00D4383F">
        <w:rPr>
          <w:rFonts w:ascii="Times New Roman" w:hAnsi="Times New Roman" w:cs="Times New Roman"/>
          <w:sz w:val="28"/>
          <w:szCs w:val="28"/>
        </w:rPr>
        <w:t>ЕНВД</w:t>
      </w:r>
      <w:proofErr w:type="spellEnd"/>
      <w:r w:rsidRPr="00D4383F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в следующих сферах: обрабатывающие производства, строительство, оптовая и розничная торговля, гостиницы и рестораны, транспорт и связь, операции с </w:t>
      </w:r>
      <w:proofErr w:type="gramStart"/>
      <w:r w:rsidRPr="00D4383F">
        <w:rPr>
          <w:rFonts w:ascii="Times New Roman" w:hAnsi="Times New Roman" w:cs="Times New Roman"/>
          <w:sz w:val="28"/>
          <w:szCs w:val="28"/>
        </w:rPr>
        <w:t>недвижимым</w:t>
      </w:r>
      <w:proofErr w:type="gramEnd"/>
      <w:r w:rsidRPr="00D4383F">
        <w:rPr>
          <w:rFonts w:ascii="Times New Roman" w:hAnsi="Times New Roman" w:cs="Times New Roman"/>
          <w:sz w:val="28"/>
          <w:szCs w:val="28"/>
        </w:rPr>
        <w:t xml:space="preserve"> имуществом, аренда и предоставление услуг, здравоохранение и предоставление социальных услуг, предоставление прочих коммунальных, социальных и персональных услуг.</w:t>
      </w:r>
    </w:p>
    <w:p w:rsidR="00B139E1" w:rsidRPr="005D76EA" w:rsidRDefault="00B139E1" w:rsidP="00B13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EA">
        <w:rPr>
          <w:rFonts w:ascii="Times New Roman" w:hAnsi="Times New Roman" w:cs="Times New Roman"/>
          <w:b/>
          <w:sz w:val="28"/>
          <w:szCs w:val="28"/>
        </w:rPr>
        <w:t xml:space="preserve">Структура поступления </w:t>
      </w:r>
      <w:proofErr w:type="spellStart"/>
      <w:r w:rsidRPr="005D76EA">
        <w:rPr>
          <w:rFonts w:ascii="Times New Roman" w:hAnsi="Times New Roman" w:cs="Times New Roman"/>
          <w:b/>
          <w:sz w:val="28"/>
          <w:szCs w:val="28"/>
        </w:rPr>
        <w:t>ЕНВД</w:t>
      </w:r>
      <w:proofErr w:type="spellEnd"/>
      <w:r w:rsidRPr="005D76EA">
        <w:rPr>
          <w:rFonts w:ascii="Times New Roman" w:hAnsi="Times New Roman" w:cs="Times New Roman"/>
          <w:b/>
          <w:sz w:val="28"/>
          <w:szCs w:val="28"/>
        </w:rPr>
        <w:t xml:space="preserve"> по отраслям, %</w:t>
      </w:r>
    </w:p>
    <w:p w:rsidR="00B139E1" w:rsidRPr="005D76EA" w:rsidRDefault="00B139E1" w:rsidP="00B13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330"/>
        <w:gridCol w:w="1134"/>
      </w:tblGrid>
      <w:tr w:rsidR="00BF10B2" w:rsidRPr="00D702A8" w:rsidTr="00E62745">
        <w:tc>
          <w:tcPr>
            <w:tcW w:w="8330" w:type="dxa"/>
            <w:tcBorders>
              <w:righ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10B2" w:rsidRPr="00D702A8" w:rsidTr="00E62745">
        <w:tc>
          <w:tcPr>
            <w:tcW w:w="8330" w:type="dxa"/>
            <w:tcBorders>
              <w:right w:val="single" w:sz="4" w:space="0" w:color="auto"/>
            </w:tcBorders>
          </w:tcPr>
          <w:p w:rsidR="00BF10B2" w:rsidRPr="00D702A8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F10B2" w:rsidRPr="00D702A8" w:rsidTr="00E62745">
        <w:tc>
          <w:tcPr>
            <w:tcW w:w="8330" w:type="dxa"/>
            <w:tcBorders>
              <w:right w:val="single" w:sz="4" w:space="0" w:color="auto"/>
            </w:tcBorders>
          </w:tcPr>
          <w:p w:rsidR="00BF10B2" w:rsidRPr="00D702A8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BF10B2" w:rsidRPr="00D702A8" w:rsidTr="00E62745">
        <w:tc>
          <w:tcPr>
            <w:tcW w:w="8330" w:type="dxa"/>
            <w:tcBorders>
              <w:right w:val="single" w:sz="4" w:space="0" w:color="auto"/>
            </w:tcBorders>
          </w:tcPr>
          <w:p w:rsidR="00BF10B2" w:rsidRPr="00D702A8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</w:tr>
      <w:tr w:rsidR="00BF10B2" w:rsidRPr="00D702A8" w:rsidTr="00E62745">
        <w:tc>
          <w:tcPr>
            <w:tcW w:w="8330" w:type="dxa"/>
            <w:tcBorders>
              <w:right w:val="single" w:sz="4" w:space="0" w:color="auto"/>
            </w:tcBorders>
          </w:tcPr>
          <w:p w:rsidR="00BF10B2" w:rsidRPr="00D702A8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Гостиницы и рестораны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BF10B2" w:rsidRPr="00D702A8" w:rsidTr="00E62745">
        <w:tc>
          <w:tcPr>
            <w:tcW w:w="8330" w:type="dxa"/>
            <w:tcBorders>
              <w:right w:val="single" w:sz="4" w:space="0" w:color="auto"/>
            </w:tcBorders>
          </w:tcPr>
          <w:p w:rsidR="00BF10B2" w:rsidRPr="00D702A8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BF10B2" w:rsidRPr="00D702A8" w:rsidTr="00E62745">
        <w:tc>
          <w:tcPr>
            <w:tcW w:w="8330" w:type="dxa"/>
            <w:tcBorders>
              <w:right w:val="single" w:sz="4" w:space="0" w:color="auto"/>
            </w:tcBorders>
          </w:tcPr>
          <w:p w:rsidR="00BF10B2" w:rsidRPr="00D702A8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Прочие виды услуг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BF10B2" w:rsidRPr="00D702A8" w:rsidTr="00E62745">
        <w:tc>
          <w:tcPr>
            <w:tcW w:w="8330" w:type="dxa"/>
            <w:tcBorders>
              <w:right w:val="single" w:sz="4" w:space="0" w:color="auto"/>
            </w:tcBorders>
          </w:tcPr>
          <w:p w:rsidR="00BF10B2" w:rsidRPr="00D702A8" w:rsidRDefault="00BF10B2" w:rsidP="00E6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0B2" w:rsidRPr="00D702A8" w:rsidRDefault="00BF10B2" w:rsidP="00E6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139E1" w:rsidRDefault="00B139E1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0B2" w:rsidRDefault="00BF10B2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0B2" w:rsidRDefault="00BF10B2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5BED1C" wp14:editId="7FA40B4F">
            <wp:extent cx="5943600" cy="2381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10B2" w:rsidRDefault="00BF10B2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0B2" w:rsidRDefault="00B139E1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10B2" w:rsidRDefault="00BF10B2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0B2" w:rsidRDefault="00BF10B2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9E1" w:rsidRDefault="00B139E1" w:rsidP="00B1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DEC">
        <w:rPr>
          <w:rFonts w:ascii="Times New Roman" w:hAnsi="Times New Roman" w:cs="Times New Roman"/>
          <w:sz w:val="28"/>
          <w:szCs w:val="28"/>
        </w:rPr>
        <w:t xml:space="preserve"> </w:t>
      </w:r>
      <w:r w:rsidRPr="00F85F3C">
        <w:rPr>
          <w:rFonts w:ascii="Times New Roman" w:hAnsi="Times New Roman" w:cs="Times New Roman"/>
          <w:sz w:val="28"/>
          <w:szCs w:val="28"/>
        </w:rPr>
        <w:t xml:space="preserve">Наибольшую долю в структуре </w:t>
      </w:r>
      <w:proofErr w:type="spellStart"/>
      <w:r w:rsidRPr="00F85F3C">
        <w:rPr>
          <w:rFonts w:ascii="Times New Roman" w:hAnsi="Times New Roman" w:cs="Times New Roman"/>
          <w:sz w:val="28"/>
          <w:szCs w:val="28"/>
        </w:rPr>
        <w:t>ЕНВД</w:t>
      </w:r>
      <w:proofErr w:type="spellEnd"/>
      <w:r w:rsidRPr="00F85F3C">
        <w:rPr>
          <w:rFonts w:ascii="Times New Roman" w:hAnsi="Times New Roman" w:cs="Times New Roman"/>
          <w:sz w:val="28"/>
          <w:szCs w:val="28"/>
        </w:rPr>
        <w:t xml:space="preserve"> занимает торговля – 86,6%. </w:t>
      </w:r>
      <w:r w:rsidR="003F4C62">
        <w:rPr>
          <w:rFonts w:ascii="Times New Roman" w:hAnsi="Times New Roman" w:cs="Times New Roman"/>
          <w:sz w:val="28"/>
          <w:szCs w:val="28"/>
        </w:rPr>
        <w:t>В районе насчитывается</w:t>
      </w:r>
      <w:r w:rsidRPr="00F85F3C">
        <w:rPr>
          <w:rFonts w:ascii="Times New Roman" w:hAnsi="Times New Roman" w:cs="Times New Roman"/>
          <w:sz w:val="28"/>
          <w:szCs w:val="28"/>
        </w:rPr>
        <w:t xml:space="preserve"> </w:t>
      </w:r>
      <w:r w:rsidR="003F4C62">
        <w:rPr>
          <w:rFonts w:ascii="Times New Roman" w:hAnsi="Times New Roman" w:cs="Times New Roman"/>
          <w:sz w:val="28"/>
          <w:szCs w:val="28"/>
        </w:rPr>
        <w:t>387</w:t>
      </w:r>
      <w:r w:rsidRPr="00F85F3C">
        <w:rPr>
          <w:rFonts w:ascii="Times New Roman" w:hAnsi="Times New Roman" w:cs="Times New Roman"/>
          <w:sz w:val="28"/>
          <w:szCs w:val="28"/>
        </w:rPr>
        <w:t xml:space="preserve"> торговая точка, включая аптеки, объекты нестационарной мелкорозничной сети и </w:t>
      </w:r>
      <w:r w:rsidRPr="00F85F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 общественного питания</w:t>
      </w:r>
      <w:r w:rsidRPr="00F85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9E1" w:rsidRDefault="00B139E1" w:rsidP="00B13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E1"/>
    <w:rsid w:val="001D5B25"/>
    <w:rsid w:val="003F4C62"/>
    <w:rsid w:val="00B139E1"/>
    <w:rsid w:val="00BF10B2"/>
    <w:rsid w:val="00C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43894604415324"/>
          <c:y val="0.38837994943883547"/>
          <c:w val="0.57853580346252342"/>
          <c:h val="0.555329618842308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7.5981633682650984E-2"/>
                  <c:y val="-3.7202711624237154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Средние предприятия</a:t>
                    </a:r>
                    <a:r>
                      <a:rPr lang="ru-RU" sz="1200" b="1" baseline="0">
                        <a:latin typeface="Times New Roman" pitchFamily="18" charset="0"/>
                        <a:cs typeface="Times New Roman" pitchFamily="18" charset="0"/>
                      </a:rPr>
                      <a:t> -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3,6%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8037945986678671E-2"/>
                  <c:y val="-4.4823599504049724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Малые предприятия</a:t>
                    </a:r>
                    <a:r>
                      <a:rPr lang="ru-RU" sz="1200" b="1" baseline="0">
                        <a:latin typeface="Times New Roman" pitchFamily="18" charset="0"/>
                        <a:cs typeface="Times New Roman" pitchFamily="18" charset="0"/>
                      </a:rPr>
                      <a:t> -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11,2%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8140166738911778"/>
                  <c:y val="0.12993017382261179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Индивидуальные предприниматели</a:t>
                    </a:r>
                    <a:r>
                      <a:rPr lang="ru-RU" sz="1200" b="1" baseline="0">
                        <a:latin typeface="Times New Roman" pitchFamily="18" charset="0"/>
                        <a:cs typeface="Times New Roman" pitchFamily="18" charset="0"/>
                      </a:rPr>
                      <a:t> -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4,3%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Средние предприятия</c:v>
                </c:pt>
                <c:pt idx="1">
                  <c:v>Малые предприятия</c:v>
                </c:pt>
                <c:pt idx="2">
                  <c:v>Индивидуальные предприниматели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2.8000000000000001E-2</c:v>
                </c:pt>
                <c:pt idx="1">
                  <c:v>0.13200000000000001</c:v>
                </c:pt>
                <c:pt idx="2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9027777777777778"/>
          <c:y val="0.35879629629629628"/>
          <c:w val="0.55555555555555558"/>
          <c:h val="0.5277777777777777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35213842587858335"/>
                  <c:y val="-2.224550257398082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4108878871582153"/>
                  <c:y val="0.324439718687331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3086265963413784"/>
                  <c:y val="0.1503945679817192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3464566929133859"/>
                  <c:y val="-0.168236366287547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903338121938487E-2"/>
                  <c:y val="-0.169686050020009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2341902317567863"/>
                  <c:y val="-0.1621322148654731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6723534558180229"/>
                  <c:y val="-1.274205307669874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р.п.Сосновское</c:v>
                </c:pt>
                <c:pt idx="1">
                  <c:v>Виткуловская с/а</c:v>
                </c:pt>
                <c:pt idx="2">
                  <c:v>Давыдковская с/а</c:v>
                </c:pt>
                <c:pt idx="3">
                  <c:v>Елизаровская с/а</c:v>
                </c:pt>
                <c:pt idx="4">
                  <c:v>Крутецкая с/а</c:v>
                </c:pt>
                <c:pt idx="5">
                  <c:v>Панинская с/а</c:v>
                </c:pt>
                <c:pt idx="6">
                  <c:v>Рожковская с/а</c:v>
                </c:pt>
                <c:pt idx="7">
                  <c:v>Селитьбенская с/а</c:v>
                </c:pt>
                <c:pt idx="8">
                  <c:v>Яковская с/а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0.83299999999999996</c:v>
                </c:pt>
                <c:pt idx="1">
                  <c:v>0.03</c:v>
                </c:pt>
                <c:pt idx="2">
                  <c:v>1E-3</c:v>
                </c:pt>
                <c:pt idx="3">
                  <c:v>3.3000000000000002E-2</c:v>
                </c:pt>
                <c:pt idx="4">
                  <c:v>1.4999999999999999E-2</c:v>
                </c:pt>
                <c:pt idx="5">
                  <c:v>0</c:v>
                </c:pt>
                <c:pt idx="6">
                  <c:v>1.7999999999999999E-2</c:v>
                </c:pt>
                <c:pt idx="7">
                  <c:v>3.7999999999999999E-2</c:v>
                </c:pt>
                <c:pt idx="8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830275442622813"/>
          <c:y val="0.41884938625096108"/>
          <c:w val="0.54885938774561394"/>
          <c:h val="0.4464704790689042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1418745291793096"/>
                  <c:y val="3.789314134141720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699660138636517"/>
                  <c:y val="0.149413963254593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081408818311118E-2"/>
                  <c:y val="-0.124334410377775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Лист1!$A$14:$A$19</c:f>
              <c:strCache>
                <c:ptCount val="6"/>
                <c:pt idx="0">
                  <c:v>Обрабатывающие производства</c:v>
                </c:pt>
                <c:pt idx="1">
                  <c:v>Строительство</c:v>
                </c:pt>
                <c:pt idx="2">
                  <c:v>Оптовая и розничная торговля</c:v>
                </c:pt>
                <c:pt idx="3">
                  <c:v>Гостиницы и рестораны</c:v>
                </c:pt>
                <c:pt idx="4">
                  <c:v>Транспортировка и хранение</c:v>
                </c:pt>
                <c:pt idx="5">
                  <c:v>Прочие виды услуг</c:v>
                </c:pt>
              </c:strCache>
            </c:strRef>
          </c:cat>
          <c:val>
            <c:numRef>
              <c:f>Лист1!$B$14:$B$19</c:f>
              <c:numCache>
                <c:formatCode>0.0%</c:formatCode>
                <c:ptCount val="6"/>
                <c:pt idx="0">
                  <c:v>1.6E-2</c:v>
                </c:pt>
                <c:pt idx="1">
                  <c:v>3.9E-2</c:v>
                </c:pt>
                <c:pt idx="2">
                  <c:v>0.82699999999999996</c:v>
                </c:pt>
                <c:pt idx="3">
                  <c:v>2.1000000000000001E-2</c:v>
                </c:pt>
                <c:pt idx="4">
                  <c:v>2.4E-2</c:v>
                </c:pt>
                <c:pt idx="5">
                  <c:v>7.2999999999999995E-2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Remizova</dc:creator>
  <cp:keywords/>
  <dc:description/>
  <cp:lastModifiedBy>Remizova</cp:lastModifiedBy>
  <cp:revision>2</cp:revision>
  <dcterms:created xsi:type="dcterms:W3CDTF">2020-03-18T12:20:00Z</dcterms:created>
  <dcterms:modified xsi:type="dcterms:W3CDTF">2020-03-18T12:20:00Z</dcterms:modified>
</cp:coreProperties>
</file>